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9F1B6" w14:textId="7F45453F" w:rsidR="009314CE" w:rsidRDefault="009314CE" w:rsidP="009314CE">
      <w:pPr>
        <w:widowControl w:val="0"/>
        <w:jc w:val="center"/>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CIRCULAR No. 51</w:t>
      </w:r>
      <w:r>
        <w:rPr>
          <w:rFonts w:ascii="Arial Narrow" w:eastAsia="Aptos" w:hAnsi="Arial Narrow"/>
          <w:kern w:val="2"/>
          <w:lang w:val="es-CR"/>
          <w14:ligatures w14:val="standardContextual"/>
        </w:rPr>
        <w:t>-2025</w:t>
      </w:r>
    </w:p>
    <w:p w14:paraId="1F7E7DD2" w14:textId="77777777" w:rsidR="009314CE" w:rsidRPr="009314CE" w:rsidRDefault="009314CE" w:rsidP="009314CE">
      <w:pPr>
        <w:widowControl w:val="0"/>
        <w:jc w:val="center"/>
        <w:rPr>
          <w:rFonts w:ascii="Arial Narrow" w:eastAsia="Aptos" w:hAnsi="Arial Narrow"/>
          <w:kern w:val="2"/>
          <w:lang w:val="es-CR"/>
          <w14:ligatures w14:val="standardContextual"/>
        </w:rPr>
      </w:pPr>
    </w:p>
    <w:p w14:paraId="59EAB499" w14:textId="102392DE" w:rsidR="009314CE" w:rsidRDefault="009314CE" w:rsidP="009314CE">
      <w:pPr>
        <w:widowControl w:val="0"/>
        <w:jc w:val="center"/>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 xml:space="preserve">Asunto:  Eliminación de bolsas plásticas en las papeleras personales y correcta separación de residuos </w:t>
      </w:r>
    </w:p>
    <w:p w14:paraId="3FC609B1" w14:textId="77777777" w:rsidR="009314CE" w:rsidRPr="009314CE" w:rsidRDefault="009314CE" w:rsidP="009314CE">
      <w:pPr>
        <w:widowControl w:val="0"/>
        <w:jc w:val="center"/>
        <w:rPr>
          <w:rFonts w:ascii="Arial Narrow" w:eastAsia="Aptos" w:hAnsi="Arial Narrow"/>
          <w:kern w:val="2"/>
          <w:lang w:val="es-CR"/>
          <w14:ligatures w14:val="standardContextual"/>
        </w:rPr>
      </w:pPr>
    </w:p>
    <w:p w14:paraId="1C1F3790" w14:textId="77777777" w:rsidR="009314CE" w:rsidRPr="009314CE" w:rsidRDefault="009314CE" w:rsidP="009314CE">
      <w:pPr>
        <w:widowControl w:val="0"/>
        <w:jc w:val="center"/>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A TODOS LOS DESPACHOS JUDICIALES DEL PAÍS</w:t>
      </w:r>
    </w:p>
    <w:p w14:paraId="74A34AF4" w14:textId="77777777" w:rsidR="009314CE" w:rsidRPr="009314CE" w:rsidRDefault="009314CE" w:rsidP="009314CE">
      <w:pPr>
        <w:widowControl w:val="0"/>
        <w:jc w:val="center"/>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SE LES HACE SABER QUE:</w:t>
      </w:r>
    </w:p>
    <w:p w14:paraId="377F62F6" w14:textId="77777777" w:rsidR="009314CE" w:rsidRPr="009314CE" w:rsidRDefault="009314CE" w:rsidP="009314CE">
      <w:pPr>
        <w:widowControl w:val="0"/>
        <w:jc w:val="center"/>
        <w:rPr>
          <w:rFonts w:ascii="Arial Narrow" w:eastAsia="Aptos" w:hAnsi="Arial Narrow"/>
          <w:kern w:val="2"/>
          <w:lang w:val="es-CR"/>
          <w14:ligatures w14:val="standardContextual"/>
        </w:rPr>
      </w:pPr>
    </w:p>
    <w:p w14:paraId="2D0435A2" w14:textId="552983F2" w:rsidR="009314CE" w:rsidRPr="009314CE" w:rsidRDefault="009314CE" w:rsidP="009314CE">
      <w:pPr>
        <w:widowControl w:val="0"/>
        <w:ind w:firstLine="709"/>
        <w:jc w:val="both"/>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Que el Consejo Superior en sesión Nº 09</w:t>
      </w:r>
      <w:r>
        <w:rPr>
          <w:rFonts w:ascii="Arial Narrow" w:eastAsia="Aptos" w:hAnsi="Arial Narrow"/>
          <w:kern w:val="2"/>
          <w:lang w:val="es-CR"/>
          <w14:ligatures w14:val="standardContextual"/>
        </w:rPr>
        <w:t>-2025</w:t>
      </w:r>
      <w:r w:rsidRPr="009314CE">
        <w:rPr>
          <w:rFonts w:ascii="Arial Narrow" w:eastAsia="Aptos" w:hAnsi="Arial Narrow"/>
          <w:kern w:val="2"/>
          <w:lang w:val="es-CR"/>
          <w14:ligatures w14:val="standardContextual"/>
        </w:rPr>
        <w:t xml:space="preserve"> celebrada el 04 de febrero de 2025, artículo XIV</w:t>
      </w:r>
      <w:r>
        <w:rPr>
          <w:rFonts w:ascii="Arial Narrow" w:eastAsia="Aptos" w:hAnsi="Arial Narrow"/>
          <w:kern w:val="2"/>
          <w:lang w:val="es-CR"/>
          <w14:ligatures w14:val="standardContextual"/>
        </w:rPr>
        <w:t>,</w:t>
      </w:r>
      <w:r w:rsidRPr="009314CE">
        <w:rPr>
          <w:rFonts w:ascii="Arial Narrow" w:eastAsia="Aptos" w:hAnsi="Arial Narrow"/>
          <w:kern w:val="2"/>
          <w:lang w:val="es-CR"/>
          <w14:ligatures w14:val="standardContextual"/>
        </w:rPr>
        <w:t xml:space="preserve"> acordó, con el fin de gestionar eficientemente los recursos institucionales, eliminar el uso de bolsas plásticas en las papeleras personales ubicadas en las oficinas y despachos, las cuales deben tener como fin depositar el papel y el cartón que será enviado a reciclaje. </w:t>
      </w:r>
    </w:p>
    <w:p w14:paraId="158A5F85" w14:textId="77777777" w:rsidR="009314CE" w:rsidRPr="009314CE" w:rsidRDefault="009314CE" w:rsidP="009314CE">
      <w:pPr>
        <w:widowControl w:val="0"/>
        <w:ind w:firstLine="709"/>
        <w:jc w:val="both"/>
        <w:rPr>
          <w:rFonts w:ascii="Arial Narrow" w:eastAsia="Aptos" w:hAnsi="Arial Narrow"/>
          <w:kern w:val="2"/>
          <w:lang w:val="es-CR"/>
          <w14:ligatures w14:val="standardContextual"/>
        </w:rPr>
      </w:pPr>
    </w:p>
    <w:p w14:paraId="787F38B8" w14:textId="77777777" w:rsidR="009314CE" w:rsidRPr="009314CE" w:rsidRDefault="009314CE" w:rsidP="009314CE">
      <w:pPr>
        <w:widowControl w:val="0"/>
        <w:ind w:firstLine="709"/>
        <w:jc w:val="both"/>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 xml:space="preserve">Lo anterior en virtud de que dicha práctica ha incentivado el mal hábito de disponer residuos no valorizables en dichos recipientes, así como un desinterés en realizar una correcta separación de los residuos; lo cual incide negativamente en el cumplimiento del compromiso del Poder Judicial con la Agenda 2030 y los Objetivos de Desarrollo Sostenible (ODS) y los fines perseguidos por el Plan de Gestión Ambiental Institucional (PGAI) 2022-2026 aprobado por Corte Plena en sesión n°52-2021 celebrada el 06 de diciembre de 2021, artículo XXIV. </w:t>
      </w:r>
    </w:p>
    <w:p w14:paraId="43AFEF04" w14:textId="77777777" w:rsidR="009314CE" w:rsidRPr="009314CE" w:rsidRDefault="009314CE" w:rsidP="009314CE">
      <w:pPr>
        <w:widowControl w:val="0"/>
        <w:ind w:firstLine="709"/>
        <w:jc w:val="both"/>
        <w:rPr>
          <w:rFonts w:ascii="Arial Narrow" w:eastAsia="Aptos" w:hAnsi="Arial Narrow"/>
          <w:kern w:val="2"/>
          <w:lang w:val="es-CR"/>
          <w14:ligatures w14:val="standardContextual"/>
        </w:rPr>
      </w:pPr>
    </w:p>
    <w:p w14:paraId="4F71562D" w14:textId="77777777" w:rsidR="009314CE" w:rsidRPr="009314CE" w:rsidRDefault="009314CE" w:rsidP="009314CE">
      <w:pPr>
        <w:widowControl w:val="0"/>
        <w:ind w:firstLine="709"/>
        <w:jc w:val="both"/>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 xml:space="preserve">Es importante aclarar que las bolsas plásticas suministradas por el Departamento de Proveeduría deberán utilizarse exclusivamente para los recipientes ubicados en comedores, cocinetas y servicios sanitarios, con el fin de depositar los residuos no valorizables.  </w:t>
      </w:r>
    </w:p>
    <w:p w14:paraId="4A03E180" w14:textId="77777777" w:rsidR="009314CE" w:rsidRPr="009314CE" w:rsidRDefault="009314CE" w:rsidP="009314CE">
      <w:pPr>
        <w:widowControl w:val="0"/>
        <w:ind w:firstLine="709"/>
        <w:jc w:val="both"/>
        <w:rPr>
          <w:rFonts w:ascii="Arial Narrow" w:eastAsia="Aptos" w:hAnsi="Arial Narrow"/>
          <w:kern w:val="2"/>
          <w:lang w:val="es-CR"/>
          <w14:ligatures w14:val="standardContextual"/>
        </w:rPr>
      </w:pPr>
    </w:p>
    <w:p w14:paraId="45EA487A" w14:textId="77777777" w:rsidR="009314CE" w:rsidRDefault="009314CE" w:rsidP="009314CE">
      <w:pPr>
        <w:ind w:firstLine="708"/>
        <w:rPr>
          <w:rFonts w:ascii="Aptos" w:hAnsi="Aptos"/>
          <w:color w:val="000000"/>
          <w:lang w:val="es-CR" w:eastAsia="en-US"/>
        </w:rPr>
      </w:pPr>
      <w:r w:rsidRPr="009314CE">
        <w:rPr>
          <w:rFonts w:ascii="Arial Narrow" w:eastAsia="Aptos" w:hAnsi="Arial Narrow"/>
          <w:kern w:val="2"/>
          <w:lang w:val="es-CR"/>
          <w14:ligatures w14:val="standardContextual"/>
        </w:rPr>
        <w:t xml:space="preserve">De igual forma, el personal judicial deberá velar por la correcta disposición de los residuos aplicando los lineamientos establecidos en la Circular N°88-2019 (adjunta), en especial en aquellos lugares donde se cuente con estaciones de reciclaje. La citada circular se encuentra en el siguiente enlace: </w:t>
      </w:r>
      <w:hyperlink r:id="rId4" w:history="1">
        <w:r w:rsidRPr="009314CE">
          <w:rPr>
            <w:rStyle w:val="Hipervnculo"/>
            <w:rFonts w:ascii="Arial Narrow" w:hAnsi="Arial Narrow"/>
          </w:rPr>
          <w:t>https://secretariacorte.poder-judicial.go.cr/index.php/informacion-general/documentos-interes?download=53620:circular-de-secretaria-de-la-corte-n-088-2019</w:t>
        </w:r>
      </w:hyperlink>
    </w:p>
    <w:p w14:paraId="11EECD96" w14:textId="47EB479D" w:rsidR="009314CE" w:rsidRPr="009314CE" w:rsidRDefault="009314CE" w:rsidP="009314CE">
      <w:pPr>
        <w:widowControl w:val="0"/>
        <w:ind w:firstLine="709"/>
        <w:jc w:val="both"/>
        <w:rPr>
          <w:rFonts w:ascii="Arial Narrow" w:eastAsia="Aptos" w:hAnsi="Arial Narrow"/>
          <w:kern w:val="2"/>
          <w:lang w:val="es-CR"/>
          <w14:ligatures w14:val="standardContextual"/>
        </w:rPr>
      </w:pPr>
    </w:p>
    <w:p w14:paraId="2D25F652" w14:textId="77777777" w:rsidR="009314CE" w:rsidRDefault="009314CE" w:rsidP="009314CE">
      <w:pPr>
        <w:widowControl w:val="0"/>
        <w:ind w:firstLine="709"/>
        <w:jc w:val="both"/>
        <w:rPr>
          <w:rFonts w:ascii="Arial Narrow" w:eastAsia="Aptos" w:hAnsi="Arial Narrow"/>
          <w:kern w:val="2"/>
          <w:lang w:val="es-CR"/>
          <w14:ligatures w14:val="standardContextual"/>
        </w:rPr>
      </w:pPr>
      <w:r w:rsidRPr="009314CE">
        <w:rPr>
          <w:rFonts w:ascii="Arial Narrow" w:eastAsia="Aptos" w:hAnsi="Arial Narrow"/>
          <w:kern w:val="2"/>
          <w:lang w:val="es-CR"/>
          <w14:ligatures w14:val="standardContextual"/>
        </w:rPr>
        <w:t>Finalmente, se solicita a las jefaturas promover la participación del personal judicial en las actividades de capacitación y sensibilización para la gestión integral de residuos que se desarrollan por parte de la Comisión de Gestión Ambiental Institucional y las Subcomisiones existentes en los distintos Circuitos Judiciales.</w:t>
      </w:r>
    </w:p>
    <w:p w14:paraId="67B8B4E1" w14:textId="77777777" w:rsidR="00345A94" w:rsidRDefault="00345A94" w:rsidP="009314CE">
      <w:pPr>
        <w:widowControl w:val="0"/>
        <w:ind w:firstLine="709"/>
        <w:jc w:val="both"/>
        <w:rPr>
          <w:rFonts w:ascii="Arial Narrow" w:eastAsia="Aptos" w:hAnsi="Arial Narrow"/>
          <w:kern w:val="2"/>
          <w:lang w:val="es-CR"/>
          <w14:ligatures w14:val="standardContextual"/>
        </w:rPr>
      </w:pPr>
    </w:p>
    <w:p w14:paraId="009C1C7D" w14:textId="26FA74FE" w:rsidR="00345A94" w:rsidRPr="009314CE" w:rsidRDefault="00345A94" w:rsidP="009314CE">
      <w:pPr>
        <w:widowControl w:val="0"/>
        <w:ind w:firstLine="709"/>
        <w:jc w:val="both"/>
        <w:rPr>
          <w:rFonts w:ascii="Arial Narrow" w:eastAsia="Aptos" w:hAnsi="Arial Narrow"/>
          <w:kern w:val="2"/>
          <w:lang w:val="es-CR"/>
          <w14:ligatures w14:val="standardContextual"/>
        </w:rPr>
      </w:pPr>
      <w:r>
        <w:rPr>
          <w:rFonts w:ascii="Arial Narrow" w:eastAsia="Aptos" w:hAnsi="Arial Narrow"/>
          <w:kern w:val="2"/>
          <w:lang w:val="es-CR"/>
          <w14:ligatures w14:val="standardContextual"/>
        </w:rPr>
        <w:t xml:space="preserve">Publíquese una sola vez en el Boletín Judicial. </w:t>
      </w:r>
    </w:p>
    <w:p w14:paraId="4E6D61EC" w14:textId="34B7BE0C" w:rsidR="007708DE" w:rsidRDefault="007708DE">
      <w:pPr>
        <w:rPr>
          <w:rFonts w:ascii="Arial Narrow" w:hAnsi="Arial Narrow"/>
        </w:rPr>
      </w:pPr>
    </w:p>
    <w:p w14:paraId="6BBDE37A" w14:textId="77777777" w:rsidR="009314CE" w:rsidRDefault="009314CE" w:rsidP="009314CE">
      <w:pPr>
        <w:rPr>
          <w:rFonts w:ascii="Arial Narrow" w:eastAsia="Calibri" w:hAnsi="Arial Narrow"/>
          <w:lang w:val="es-CR" w:eastAsia="es-CR"/>
        </w:rPr>
      </w:pPr>
      <w:r>
        <w:rPr>
          <w:rFonts w:ascii="Arial Narrow" w:eastAsia="Calibri" w:hAnsi="Arial Narrow"/>
          <w:lang w:eastAsia="es-CR"/>
        </w:rPr>
        <w:t>San José, 20 de marzo de 2025</w:t>
      </w:r>
    </w:p>
    <w:p w14:paraId="6ECCB04F" w14:textId="77777777" w:rsidR="009314CE" w:rsidRDefault="009314CE" w:rsidP="009314CE">
      <w:pPr>
        <w:jc w:val="both"/>
        <w:rPr>
          <w:rFonts w:ascii="Arial Narrow" w:eastAsia="Calibri" w:hAnsi="Arial Narrow"/>
        </w:rPr>
      </w:pPr>
    </w:p>
    <w:p w14:paraId="3D94C39B" w14:textId="77777777" w:rsidR="009314CE" w:rsidRDefault="009314CE" w:rsidP="009314CE">
      <w:pPr>
        <w:jc w:val="both"/>
        <w:rPr>
          <w:rFonts w:ascii="Arial Narrow" w:eastAsia="Calibri" w:hAnsi="Arial Narrow"/>
          <w:lang w:eastAsia="en-US"/>
        </w:rPr>
      </w:pPr>
    </w:p>
    <w:p w14:paraId="0F20E35C" w14:textId="77777777" w:rsidR="009314CE" w:rsidRDefault="009314CE" w:rsidP="009314CE">
      <w:pPr>
        <w:jc w:val="both"/>
        <w:rPr>
          <w:rFonts w:ascii="Arial Narrow" w:eastAsia="Calibri" w:hAnsi="Arial Narrow"/>
        </w:rPr>
      </w:pPr>
    </w:p>
    <w:p w14:paraId="7BBEEFEC" w14:textId="77777777" w:rsidR="009314CE" w:rsidRDefault="009314CE" w:rsidP="009314CE">
      <w:pPr>
        <w:widowControl w:val="0"/>
        <w:jc w:val="both"/>
        <w:rPr>
          <w:rFonts w:ascii="Arial Narrow" w:eastAsia="Arial Unicode MS" w:hAnsi="Arial Narrow"/>
        </w:rPr>
      </w:pPr>
      <w:r>
        <w:rPr>
          <w:rFonts w:ascii="Arial Narrow" w:eastAsia="Arial Unicode MS" w:hAnsi="Arial Narrow"/>
        </w:rPr>
        <w:t>Lic. Carlos Toscano Mora Rodríguez</w:t>
      </w:r>
    </w:p>
    <w:p w14:paraId="67073714" w14:textId="77777777" w:rsidR="009314CE" w:rsidRDefault="009314CE" w:rsidP="009314CE">
      <w:pPr>
        <w:widowControl w:val="0"/>
        <w:jc w:val="both"/>
        <w:rPr>
          <w:rFonts w:ascii="Arial Narrow" w:eastAsia="Arial Unicode MS" w:hAnsi="Arial Narrow"/>
          <w:lang w:val="es-CR"/>
        </w:rPr>
      </w:pPr>
      <w:r>
        <w:rPr>
          <w:rFonts w:ascii="Arial Narrow" w:eastAsia="Arial Unicode MS" w:hAnsi="Arial Narrow"/>
        </w:rPr>
        <w:t>Subsecretario General interino</w:t>
      </w:r>
    </w:p>
    <w:p w14:paraId="1AD8EE55" w14:textId="77777777" w:rsidR="009314CE" w:rsidRDefault="009314CE" w:rsidP="009314CE">
      <w:pPr>
        <w:widowControl w:val="0"/>
        <w:jc w:val="both"/>
        <w:rPr>
          <w:rFonts w:ascii="Arial Narrow" w:eastAsia="Arial Unicode MS" w:hAnsi="Arial Narrow"/>
        </w:rPr>
      </w:pPr>
      <w:r>
        <w:rPr>
          <w:rFonts w:ascii="Arial Narrow" w:eastAsia="Arial Unicode MS" w:hAnsi="Arial Narrow"/>
        </w:rPr>
        <w:t>Corte Suprema de Justicia</w:t>
      </w:r>
    </w:p>
    <w:p w14:paraId="0F3BF438" w14:textId="77777777" w:rsidR="009314CE" w:rsidRDefault="009314CE" w:rsidP="009314CE">
      <w:pPr>
        <w:rPr>
          <w:rFonts w:ascii="Arial Narrow" w:eastAsia="Calibri" w:hAnsi="Arial Narrow"/>
          <w:lang w:eastAsia="es-CR"/>
        </w:rPr>
      </w:pPr>
    </w:p>
    <w:p w14:paraId="0A14CACF" w14:textId="205BD7EC" w:rsidR="009314CE" w:rsidRDefault="009314CE" w:rsidP="009314CE">
      <w:pPr>
        <w:jc w:val="both"/>
        <w:rPr>
          <w:rFonts w:ascii="Arial Narrow" w:eastAsia="Calibri" w:hAnsi="Arial Narrow"/>
          <w:kern w:val="2"/>
          <w:lang w:eastAsia="en-US"/>
        </w:rPr>
      </w:pPr>
      <w:r>
        <w:rPr>
          <w:rFonts w:ascii="Arial Narrow" w:eastAsia="Calibri" w:hAnsi="Arial Narrow"/>
        </w:rPr>
        <w:t>Diligencias / Refs: (</w:t>
      </w:r>
      <w:r w:rsidRPr="009314CE">
        <w:rPr>
          <w:rFonts w:ascii="Arial Narrow" w:eastAsia="Calibri" w:hAnsi="Arial Narrow"/>
        </w:rPr>
        <w:t>388-2025</w:t>
      </w:r>
      <w:r>
        <w:rPr>
          <w:rFonts w:ascii="Arial Narrow" w:eastAsia="Calibri" w:hAnsi="Arial Narrow"/>
        </w:rPr>
        <w:t>)</w:t>
      </w:r>
    </w:p>
    <w:p w14:paraId="080291C1" w14:textId="71670BF0" w:rsidR="009314CE" w:rsidRPr="009314CE" w:rsidRDefault="009314CE" w:rsidP="00345A94">
      <w:pPr>
        <w:jc w:val="both"/>
        <w:rPr>
          <w:rFonts w:ascii="Arial Narrow" w:hAnsi="Arial Narrow"/>
        </w:rPr>
      </w:pPr>
      <w:r>
        <w:rPr>
          <w:rFonts w:ascii="Arial Narrow" w:eastAsia="Calibri" w:hAnsi="Arial Narrow"/>
          <w:color w:val="A6A6A6" w:themeColor="background1" w:themeShade="A6"/>
        </w:rPr>
        <w:t>Nsalas</w:t>
      </w:r>
    </w:p>
    <w:sectPr w:rsidR="009314CE" w:rsidRPr="009314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CE"/>
    <w:rsid w:val="001829E7"/>
    <w:rsid w:val="001F7D92"/>
    <w:rsid w:val="00271CEC"/>
    <w:rsid w:val="002A6DEE"/>
    <w:rsid w:val="00331A5E"/>
    <w:rsid w:val="00345A94"/>
    <w:rsid w:val="0045592B"/>
    <w:rsid w:val="00493865"/>
    <w:rsid w:val="0057537B"/>
    <w:rsid w:val="007708DE"/>
    <w:rsid w:val="00863CBE"/>
    <w:rsid w:val="009314CE"/>
    <w:rsid w:val="00BB1258"/>
    <w:rsid w:val="00BD1E13"/>
    <w:rsid w:val="00D053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84E4"/>
  <w15:chartTrackingRefBased/>
  <w15:docId w15:val="{1A1FA802-3AD1-41B7-AB3C-62538397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CE"/>
    <w:pPr>
      <w:suppressAutoHyphens/>
      <w:spacing w:after="0" w:line="240" w:lineRule="auto"/>
    </w:pPr>
    <w:rPr>
      <w:rFonts w:ascii="Times New Roman" w:eastAsia="Times New Roman" w:hAnsi="Times New Roman" w:cs="Times New Roman"/>
      <w:sz w:val="24"/>
      <w:szCs w:val="24"/>
      <w:lang w:val="es-ES" w:eastAsia="ar-SA"/>
    </w:rPr>
  </w:style>
  <w:style w:type="paragraph" w:styleId="Ttulo2">
    <w:name w:val="heading 2"/>
    <w:aliases w:val="Títulos de Hallazgo e Introducción"/>
    <w:basedOn w:val="Normal"/>
    <w:next w:val="Textoindependiente"/>
    <w:link w:val="Ttulo2Car"/>
    <w:qFormat/>
    <w:rsid w:val="00D053BF"/>
    <w:pPr>
      <w:keepNext/>
      <w:tabs>
        <w:tab w:val="num" w:pos="0"/>
      </w:tabs>
      <w:spacing w:before="120" w:after="120" w:line="480" w:lineRule="auto"/>
      <w:jc w:val="center"/>
      <w:outlineLvl w:val="1"/>
    </w:pPr>
    <w:rPr>
      <w:b/>
      <w:bCs/>
      <w:sz w:val="32"/>
      <w:szCs w:val="28"/>
      <w:u w:val="single"/>
    </w:rPr>
  </w:style>
  <w:style w:type="paragraph" w:styleId="Ttulo3">
    <w:name w:val="heading 3"/>
    <w:aliases w:val="Subtítulos de Hallazgo"/>
    <w:basedOn w:val="Normal"/>
    <w:next w:val="Normal"/>
    <w:link w:val="Ttulo3Car"/>
    <w:qFormat/>
    <w:rsid w:val="00BB1258"/>
    <w:pPr>
      <w:keepNext/>
      <w:ind w:firstLine="709"/>
      <w:jc w:val="both"/>
      <w:outlineLvl w:val="2"/>
    </w:pPr>
    <w:rPr>
      <w:rFonts w:cs="Arial"/>
      <w:bCs/>
      <w:color w:val="0000FF"/>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
    <w:basedOn w:val="Fuentedeprrafopredeter"/>
    <w:link w:val="Ttulo2"/>
    <w:qFormat/>
    <w:rsid w:val="00D053BF"/>
    <w:rPr>
      <w:rFonts w:ascii="Times New Roman" w:eastAsia="Times New Roman" w:hAnsi="Times New Roman" w:cs="Times New Roman"/>
      <w:b/>
      <w:bCs/>
      <w:sz w:val="32"/>
      <w:szCs w:val="28"/>
      <w:u w:val="single"/>
      <w:lang w:val="es-ES" w:eastAsia="ar-SA"/>
    </w:rPr>
  </w:style>
  <w:style w:type="paragraph" w:styleId="Textoindependiente">
    <w:name w:val="Body Text"/>
    <w:basedOn w:val="Normal"/>
    <w:link w:val="TextoindependienteCar"/>
    <w:uiPriority w:val="99"/>
    <w:semiHidden/>
    <w:unhideWhenUsed/>
    <w:rsid w:val="00863CBE"/>
    <w:pPr>
      <w:suppressAutoHyphens w:val="0"/>
      <w:spacing w:after="120" w:line="259" w:lineRule="auto"/>
    </w:pPr>
    <w:rPr>
      <w:rFonts w:asciiTheme="minorHAnsi" w:eastAsiaTheme="minorHAnsi" w:hAnsiTheme="minorHAnsi" w:cstheme="minorBidi"/>
      <w:sz w:val="22"/>
      <w:szCs w:val="22"/>
      <w:lang w:val="es-CR" w:eastAsia="en-US"/>
    </w:rPr>
  </w:style>
  <w:style w:type="character" w:customStyle="1" w:styleId="TextoindependienteCar">
    <w:name w:val="Texto independiente Car"/>
    <w:basedOn w:val="Fuentedeprrafopredeter"/>
    <w:link w:val="Textoindependiente"/>
    <w:uiPriority w:val="99"/>
    <w:semiHidden/>
    <w:rsid w:val="00863CBE"/>
  </w:style>
  <w:style w:type="character" w:customStyle="1" w:styleId="Ttulo3Car">
    <w:name w:val="Título 3 Car"/>
    <w:aliases w:val="Subtítulos de Hallazgo Car"/>
    <w:basedOn w:val="Fuentedeprrafopredeter"/>
    <w:link w:val="Ttulo3"/>
    <w:qFormat/>
    <w:rsid w:val="00BB1258"/>
    <w:rPr>
      <w:rFonts w:ascii="Times New Roman" w:eastAsia="Times New Roman" w:hAnsi="Times New Roman" w:cs="Arial"/>
      <w:bCs/>
      <w:color w:val="0000FF"/>
      <w:sz w:val="24"/>
      <w:szCs w:val="26"/>
      <w:lang w:val="es-ES_tradnl" w:eastAsia="ar-SA"/>
    </w:rPr>
  </w:style>
  <w:style w:type="character" w:styleId="Hipervnculo">
    <w:name w:val="Hyperlink"/>
    <w:basedOn w:val="Fuentedeprrafopredeter"/>
    <w:uiPriority w:val="99"/>
    <w:semiHidden/>
    <w:unhideWhenUsed/>
    <w:rsid w:val="009314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030022">
      <w:bodyDiv w:val="1"/>
      <w:marLeft w:val="0"/>
      <w:marRight w:val="0"/>
      <w:marTop w:val="0"/>
      <w:marBottom w:val="0"/>
      <w:divBdr>
        <w:top w:val="none" w:sz="0" w:space="0" w:color="auto"/>
        <w:left w:val="none" w:sz="0" w:space="0" w:color="auto"/>
        <w:bottom w:val="none" w:sz="0" w:space="0" w:color="auto"/>
        <w:right w:val="none" w:sz="0" w:space="0" w:color="auto"/>
      </w:divBdr>
    </w:div>
    <w:div w:id="15193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retariacorte.poder-judicial.go.cr/index.php/informacion-general/documentos-interes?download=53620:circular-de-secretaria-de-la-corte-n-088-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Nickole Salas Soto.</dc:creator>
  <cp:keywords/>
  <dc:description/>
  <cp:lastModifiedBy>Secretaría General de la Corte - Comunicaciones - Jessica Chavarría Muñoz. Aut</cp:lastModifiedBy>
  <cp:revision>2</cp:revision>
  <dcterms:created xsi:type="dcterms:W3CDTF">2025-03-27T21:44:00Z</dcterms:created>
  <dcterms:modified xsi:type="dcterms:W3CDTF">2025-03-27T21:44:00Z</dcterms:modified>
</cp:coreProperties>
</file>